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9AB82" w14:textId="62F86D5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BC4CD2">
        <w:t>100</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3E5765">
        <w:rPr>
          <w:sz w:val="32"/>
          <w:szCs w:val="32"/>
        </w:rPr>
        <w:t>13476</w:t>
      </w:r>
    </w:p>
    <w:p w14:paraId="1E95671B" w14:textId="30416541" w:rsidR="00E90E49" w:rsidRPr="00CE0424" w:rsidRDefault="00BC4CD2" w:rsidP="00311702">
      <w:pPr>
        <w:pStyle w:val="3GPPHeader"/>
      </w:pPr>
      <w:r>
        <w:t>Reno</w:t>
      </w:r>
      <w:r w:rsidR="00873DB0" w:rsidRPr="00631CA0">
        <w:t>,</w:t>
      </w:r>
      <w:r>
        <w:t xml:space="preserve"> Nevada, USA</w:t>
      </w:r>
      <w:r w:rsidR="00873DB0">
        <w:t xml:space="preserve">, </w:t>
      </w:r>
      <w:r>
        <w:t>27</w:t>
      </w:r>
      <w:r w:rsidR="00873DB0" w:rsidRPr="004E432D">
        <w:rPr>
          <w:vertAlign w:val="superscript"/>
        </w:rPr>
        <w:t>th</w:t>
      </w:r>
      <w:r w:rsidR="00873DB0">
        <w:t xml:space="preserve"> </w:t>
      </w:r>
      <w:r w:rsidR="00FF75EA">
        <w:t>Novem</w:t>
      </w:r>
      <w:r>
        <w:t>ber</w:t>
      </w:r>
      <w:r w:rsidR="00873DB0" w:rsidRPr="00631CA0">
        <w:t xml:space="preserve">– </w:t>
      </w:r>
      <w:r w:rsidR="00873DB0">
        <w:t>1</w:t>
      </w:r>
      <w:r>
        <w:rPr>
          <w:vertAlign w:val="superscript"/>
        </w:rPr>
        <w:t>st</w:t>
      </w:r>
      <w:r w:rsidR="00873DB0">
        <w:t xml:space="preserve"> </w:t>
      </w:r>
      <w:r>
        <w:t>December</w:t>
      </w:r>
      <w:r w:rsidR="00873DB0">
        <w:t xml:space="preserve"> </w:t>
      </w:r>
      <w:r w:rsidR="00873DB0" w:rsidRPr="00631CA0">
        <w:t>2017</w:t>
      </w:r>
    </w:p>
    <w:p w14:paraId="64A13838" w14:textId="77777777" w:rsidR="00E90E49" w:rsidRPr="00CE0424" w:rsidRDefault="00E90E49" w:rsidP="00357380">
      <w:pPr>
        <w:pStyle w:val="3GPPHeader"/>
      </w:pPr>
    </w:p>
    <w:p w14:paraId="17F6AC24" w14:textId="75D2EB6F" w:rsidR="00E90E49" w:rsidRPr="009706F9" w:rsidRDefault="00E90E49" w:rsidP="00311702">
      <w:pPr>
        <w:pStyle w:val="3GPPHeader"/>
        <w:rPr>
          <w:sz w:val="22"/>
          <w:szCs w:val="22"/>
          <w:lang w:val="en-US"/>
        </w:rPr>
      </w:pPr>
      <w:r w:rsidRPr="009706F9">
        <w:rPr>
          <w:sz w:val="22"/>
          <w:szCs w:val="22"/>
          <w:lang w:val="en-US"/>
        </w:rPr>
        <w:t>Agenda Item:</w:t>
      </w:r>
      <w:r w:rsidRPr="009706F9">
        <w:rPr>
          <w:sz w:val="22"/>
          <w:szCs w:val="22"/>
          <w:lang w:val="en-US"/>
        </w:rPr>
        <w:tab/>
      </w:r>
      <w:r w:rsidR="00484770" w:rsidRPr="009706F9">
        <w:rPr>
          <w:sz w:val="22"/>
          <w:szCs w:val="22"/>
          <w:lang w:val="en-US"/>
        </w:rPr>
        <w:t>10</w:t>
      </w:r>
      <w:r w:rsidR="00311702" w:rsidRPr="009706F9">
        <w:rPr>
          <w:sz w:val="22"/>
          <w:szCs w:val="22"/>
          <w:lang w:val="en-US"/>
        </w:rPr>
        <w:t>.</w:t>
      </w:r>
      <w:r w:rsidR="00484770" w:rsidRPr="009706F9">
        <w:rPr>
          <w:sz w:val="22"/>
          <w:szCs w:val="22"/>
          <w:lang w:val="en-US"/>
        </w:rPr>
        <w:t>3</w:t>
      </w:r>
      <w:r w:rsidR="00311702" w:rsidRPr="009706F9">
        <w:rPr>
          <w:sz w:val="22"/>
          <w:szCs w:val="22"/>
          <w:lang w:val="en-US"/>
        </w:rPr>
        <w:t>.</w:t>
      </w:r>
      <w:r w:rsidR="00484770" w:rsidRPr="009706F9">
        <w:rPr>
          <w:sz w:val="22"/>
          <w:szCs w:val="22"/>
          <w:lang w:val="en-US"/>
        </w:rPr>
        <w:t>1</w:t>
      </w:r>
      <w:r w:rsidR="00311702" w:rsidRPr="009706F9">
        <w:rPr>
          <w:sz w:val="22"/>
          <w:szCs w:val="22"/>
          <w:lang w:val="en-US"/>
        </w:rPr>
        <w:t>.</w:t>
      </w:r>
      <w:r w:rsidR="00484770" w:rsidRPr="009706F9">
        <w:rPr>
          <w:sz w:val="22"/>
          <w:szCs w:val="22"/>
          <w:lang w:val="en-US"/>
        </w:rPr>
        <w:t>4.4</w:t>
      </w:r>
    </w:p>
    <w:p w14:paraId="6D3694DA" w14:textId="77777777" w:rsidR="00E90E49" w:rsidRPr="009706F9" w:rsidRDefault="003D3C45" w:rsidP="00F64C2B">
      <w:pPr>
        <w:pStyle w:val="3GPPHeader"/>
        <w:rPr>
          <w:sz w:val="22"/>
          <w:szCs w:val="22"/>
        </w:rPr>
      </w:pPr>
      <w:r w:rsidRPr="009706F9">
        <w:rPr>
          <w:sz w:val="22"/>
          <w:szCs w:val="22"/>
        </w:rPr>
        <w:t>Source:</w:t>
      </w:r>
      <w:r w:rsidR="00E90E49" w:rsidRPr="009706F9">
        <w:rPr>
          <w:sz w:val="22"/>
          <w:szCs w:val="22"/>
        </w:rPr>
        <w:tab/>
      </w:r>
      <w:r w:rsidR="00F64C2B" w:rsidRPr="009706F9">
        <w:rPr>
          <w:sz w:val="22"/>
          <w:szCs w:val="22"/>
        </w:rPr>
        <w:t>Ericsson</w:t>
      </w:r>
    </w:p>
    <w:p w14:paraId="61F95CBD" w14:textId="30DE0892" w:rsidR="00E90E49" w:rsidRPr="009706F9" w:rsidRDefault="003D3C45" w:rsidP="00311702">
      <w:pPr>
        <w:pStyle w:val="3GPPHeader"/>
        <w:rPr>
          <w:sz w:val="22"/>
          <w:szCs w:val="22"/>
        </w:rPr>
      </w:pPr>
      <w:r w:rsidRPr="009706F9">
        <w:rPr>
          <w:sz w:val="22"/>
          <w:szCs w:val="22"/>
        </w:rPr>
        <w:t>Title:</w:t>
      </w:r>
      <w:r w:rsidR="00E90E49" w:rsidRPr="009706F9">
        <w:rPr>
          <w:sz w:val="22"/>
          <w:szCs w:val="22"/>
        </w:rPr>
        <w:tab/>
      </w:r>
      <w:r w:rsidR="007125DD" w:rsidRPr="009706F9">
        <w:rPr>
          <w:sz w:val="22"/>
          <w:szCs w:val="22"/>
        </w:rPr>
        <w:t>Random Access and SUL</w:t>
      </w:r>
    </w:p>
    <w:p w14:paraId="3667AE14" w14:textId="3F887B42" w:rsidR="00E90E49" w:rsidRDefault="00E90E49" w:rsidP="00D546FF">
      <w:pPr>
        <w:pStyle w:val="3GPPHeader"/>
        <w:rPr>
          <w:sz w:val="22"/>
          <w:szCs w:val="22"/>
        </w:rPr>
      </w:pPr>
      <w:r w:rsidRPr="009706F9">
        <w:rPr>
          <w:sz w:val="22"/>
          <w:szCs w:val="22"/>
        </w:rPr>
        <w:t>Document for:</w:t>
      </w:r>
      <w:r w:rsidRPr="009706F9">
        <w:rPr>
          <w:sz w:val="22"/>
          <w:szCs w:val="22"/>
        </w:rPr>
        <w:tab/>
        <w:t>Discussion, Decision</w:t>
      </w:r>
    </w:p>
    <w:p w14:paraId="71ED7461" w14:textId="77777777" w:rsidR="009706F9" w:rsidRDefault="009706F9" w:rsidP="00D546FF">
      <w:pPr>
        <w:pStyle w:val="3GPPHeader"/>
        <w:rPr>
          <w:sz w:val="22"/>
          <w:szCs w:val="22"/>
        </w:rPr>
      </w:pPr>
      <w:bookmarkStart w:id="0" w:name="_GoBack"/>
      <w:bookmarkEnd w:id="0"/>
    </w:p>
    <w:p w14:paraId="59B11961" w14:textId="77777777" w:rsidR="00C24345" w:rsidRDefault="00E90E49" w:rsidP="00A2052C">
      <w:pPr>
        <w:pStyle w:val="Heading1"/>
      </w:pPr>
      <w:r w:rsidRPr="00CE0424">
        <w:t>Introduction</w:t>
      </w:r>
    </w:p>
    <w:p w14:paraId="2018619C" w14:textId="1B4A1727" w:rsidR="00484770" w:rsidRDefault="00484770" w:rsidP="00484770">
      <w:pPr>
        <w:pStyle w:val="BodyText"/>
      </w:pPr>
      <w:r>
        <w:t>In RAN2#99bis, the following agreements related to supplementary uplink were made.</w:t>
      </w:r>
    </w:p>
    <w:p w14:paraId="62654DED"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Agreements for SUL operation in connected mode:</w:t>
      </w:r>
    </w:p>
    <w:p w14:paraId="636B5609"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1</w:t>
      </w:r>
      <w:r>
        <w:tab/>
        <w:t xml:space="preserve">When SUL is configured there are 2 ULs configured for one DL of the </w:t>
      </w:r>
      <w:r w:rsidRPr="00FA3969">
        <w:rPr>
          <w:highlight w:val="yellow"/>
        </w:rPr>
        <w:t>same</w:t>
      </w:r>
      <w:r>
        <w:t xml:space="preserve"> cell. (FFS how much configuration is provided for the 2 ULs)</w:t>
      </w:r>
    </w:p>
    <w:p w14:paraId="27D0886A"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2</w:t>
      </w:r>
      <w:r>
        <w:tab/>
        <w:t>At any point in time, each serving cell has at most one PUSCH for transmission</w:t>
      </w:r>
    </w:p>
    <w:p w14:paraId="060E08A1"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p>
    <w:p w14:paraId="636DABDA"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Options for further discussion on RRC signalling to configure SUL</w:t>
      </w:r>
    </w:p>
    <w:p w14:paraId="0166C036"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1</w:t>
      </w:r>
      <w:r>
        <w:tab/>
        <w:t>RRC configured 2 ULs (one if a full UL configuration and 2nd is just SRS configuration). RRC reconfiguration to provide a full UL configuration for a different carrier is used to switch UL data between 2 different ULs.</w:t>
      </w:r>
    </w:p>
    <w:p w14:paraId="5DE88E50"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2</w:t>
      </w:r>
      <w:r>
        <w:tab/>
        <w:t xml:space="preserve">RRC configures 2 UL. Signalling (e.g. DCI or MAC CE) is defined to enable UE to switch between the 2 different UL configurations, or 2 use both ULs </w:t>
      </w:r>
    </w:p>
    <w:p w14:paraId="3DA883D5" w14:textId="77777777" w:rsidR="00484770" w:rsidRDefault="00484770" w:rsidP="00484770">
      <w:pPr>
        <w:pStyle w:val="BodyText"/>
      </w:pPr>
      <w:r>
        <w:t xml:space="preserve"> </w:t>
      </w:r>
    </w:p>
    <w:p w14:paraId="04D64F7C"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Clarification of agreements</w:t>
      </w:r>
    </w:p>
    <w:p w14:paraId="2CB3F801"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1</w:t>
      </w:r>
      <w:r>
        <w:tab/>
        <w:t>In any slot</w:t>
      </w:r>
      <w:r w:rsidRPr="00CD2152">
        <w:t xml:space="preserve">, one PUSCH </w:t>
      </w:r>
      <w:r>
        <w:t>is used for</w:t>
      </w:r>
      <w:r w:rsidRPr="00CD2152">
        <w:t xml:space="preserve"> transmission</w:t>
      </w:r>
      <w:r>
        <w:t xml:space="preserve"> for a single serving cell (i.e. associated to a single DL). This excludes simultaneous transmission on 2 PUSCH within a single slot but does not restrict switching between the two PUSCH based on L1 /MAC/RRC signalling options. </w:t>
      </w:r>
    </w:p>
    <w:p w14:paraId="0F3DFB6F"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2</w:t>
      </w:r>
      <w:r>
        <w:tab/>
        <w:t>RAN2 consider that it is up to RAN1 to decide where PUCCH is transmitted</w:t>
      </w:r>
    </w:p>
    <w:p w14:paraId="57E38639"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3</w:t>
      </w:r>
      <w:r>
        <w:tab/>
        <w:t>Option 2 is clarified to "</w:t>
      </w:r>
      <w:r w:rsidRPr="00197434">
        <w:t xml:space="preserve"> RRC configures 2 UL. Signalling (e.g. DCI</w:t>
      </w:r>
      <w:r>
        <w:t xml:space="preserve"> or MAC CE</w:t>
      </w:r>
      <w:r w:rsidRPr="00197434">
        <w:t>) is defined to enable UE to switch between the 2 different UL configurations</w:t>
      </w:r>
      <w:r>
        <w:t>, to use both ULs but not schedule them simultaneously based on agreement 1 above"</w:t>
      </w:r>
    </w:p>
    <w:p w14:paraId="4EA11BB0"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4</w:t>
      </w:r>
      <w:r>
        <w:tab/>
        <w:t>Final decision to use MAC CE signalling would be a RAN2 decision.</w:t>
      </w:r>
    </w:p>
    <w:p w14:paraId="15B006C2"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5</w:t>
      </w:r>
      <w:r w:rsidRPr="000563AE">
        <w:tab/>
        <w:t xml:space="preserve">Final decision to use </w:t>
      </w:r>
      <w:r>
        <w:t>L1</w:t>
      </w:r>
      <w:r w:rsidRPr="000563AE">
        <w:t xml:space="preserve"> signalling would be a RAN</w:t>
      </w:r>
      <w:r>
        <w:t>1</w:t>
      </w:r>
      <w:r w:rsidRPr="000563AE">
        <w:t xml:space="preserve"> decision.</w:t>
      </w:r>
    </w:p>
    <w:p w14:paraId="1CFFEF76" w14:textId="77777777" w:rsidR="00484770" w:rsidRDefault="00484770" w:rsidP="00484770">
      <w:pPr>
        <w:pStyle w:val="Doc-text2"/>
        <w:pBdr>
          <w:top w:val="single" w:sz="4" w:space="1" w:color="auto"/>
          <w:left w:val="single" w:sz="4" w:space="4" w:color="auto"/>
          <w:bottom w:val="single" w:sz="4" w:space="1" w:color="auto"/>
          <w:right w:val="single" w:sz="4" w:space="4" w:color="auto"/>
        </w:pBdr>
      </w:pPr>
      <w:r>
        <w:t xml:space="preserve">6 </w:t>
      </w:r>
      <w:r>
        <w:tab/>
        <w:t>There is no RAN2 motivation to adopt DCI signalling.</w:t>
      </w:r>
    </w:p>
    <w:p w14:paraId="21923113" w14:textId="77777777" w:rsidR="00484770" w:rsidRDefault="00484770" w:rsidP="00484770">
      <w:pPr>
        <w:pStyle w:val="BodyText"/>
      </w:pPr>
    </w:p>
    <w:p w14:paraId="1257BBC8" w14:textId="77777777" w:rsidR="007125DD" w:rsidRPr="00A2052C" w:rsidRDefault="007125DD" w:rsidP="007125DD">
      <w:r>
        <w:t>This contribution discusses Random Access when a supplementary uplink carrier (SUL) is configured.</w:t>
      </w:r>
    </w:p>
    <w:p w14:paraId="576D067B" w14:textId="77777777" w:rsidR="004000E8" w:rsidRPr="00CE0424" w:rsidRDefault="004000E8" w:rsidP="00CE0424">
      <w:pPr>
        <w:pStyle w:val="Heading1"/>
      </w:pPr>
      <w:bookmarkStart w:id="1" w:name="_Ref178064866"/>
      <w:r w:rsidRPr="00CE0424">
        <w:t>Discussion</w:t>
      </w:r>
      <w:bookmarkEnd w:id="1"/>
    </w:p>
    <w:p w14:paraId="11EBE1AF" w14:textId="683C4655" w:rsidR="007125DD" w:rsidRDefault="007125DD" w:rsidP="007125DD">
      <w:pPr>
        <w:pStyle w:val="BodyText"/>
      </w:pPr>
      <w:bookmarkStart w:id="2" w:name="_Ref189046994"/>
      <w:r>
        <w:t xml:space="preserve">At high frequencies, it is well known that coverage will be an issue. One way to mitigate this is </w:t>
      </w:r>
      <w:r w:rsidRPr="00992C03">
        <w:t>the introduction of</w:t>
      </w:r>
      <w:r w:rsidRPr="00992C03">
        <w:rPr>
          <w:rFonts w:hint="eastAsia"/>
        </w:rPr>
        <w:t xml:space="preserve"> </w:t>
      </w:r>
      <w:r w:rsidRPr="00992C03">
        <w:t>Supplementary UpLink (</w:t>
      </w:r>
      <w:r w:rsidRPr="00992C03">
        <w:rPr>
          <w:rFonts w:hint="eastAsia"/>
        </w:rPr>
        <w:t>SUL</w:t>
      </w:r>
      <w:r w:rsidRPr="00992C03">
        <w:t>)</w:t>
      </w:r>
      <w:r w:rsidRPr="00992C03">
        <w:rPr>
          <w:rFonts w:hint="eastAsia"/>
        </w:rPr>
        <w:t xml:space="preserve"> </w:t>
      </w:r>
      <w:r w:rsidRPr="00992C03">
        <w:t>carriers which</w:t>
      </w:r>
      <w:r w:rsidRPr="00992C03">
        <w:rPr>
          <w:rFonts w:hint="eastAsia"/>
        </w:rPr>
        <w:t xml:space="preserve"> is </w:t>
      </w:r>
      <w:r w:rsidRPr="00992C03">
        <w:t xml:space="preserve">mainly motivated </w:t>
      </w:r>
      <w:r w:rsidRPr="00992C03">
        <w:rPr>
          <w:rFonts w:hint="eastAsia"/>
        </w:rPr>
        <w:t>by improve</w:t>
      </w:r>
      <w:r w:rsidRPr="00992C03">
        <w:t>ment of</w:t>
      </w:r>
      <w:r w:rsidRPr="00992C03">
        <w:rPr>
          <w:rFonts w:hint="eastAsia"/>
        </w:rPr>
        <w:t xml:space="preserve"> the uplink coverage</w:t>
      </w:r>
      <w:r w:rsidRPr="00992C03">
        <w:t xml:space="preserve"> for NR</w:t>
      </w:r>
      <w:r w:rsidRPr="00992C03">
        <w:rPr>
          <w:rFonts w:hint="eastAsia"/>
        </w:rPr>
        <w:t xml:space="preserve"> </w:t>
      </w:r>
      <w:r w:rsidRPr="00992C03">
        <w:t>which is deployed at</w:t>
      </w:r>
      <w:r w:rsidRPr="00992C03">
        <w:rPr>
          <w:rFonts w:hint="eastAsia"/>
        </w:rPr>
        <w:t xml:space="preserve"> relative high </w:t>
      </w:r>
      <w:r w:rsidRPr="00992C03">
        <w:t>frequency</w:t>
      </w:r>
      <w:r w:rsidRPr="00992C03">
        <w:rPr>
          <w:rFonts w:hint="eastAsia"/>
        </w:rPr>
        <w:t xml:space="preserve"> bands. </w:t>
      </w:r>
      <w:r w:rsidRPr="00992C03">
        <w:t xml:space="preserve">The SUL carriers are deployed at the low frequency region, for example, at the LTE band. In this way, the uplink coverage of NR bands can be comparable with that in LTE. The SUL carrier and NR UL carrier together are associated with </w:t>
      </w:r>
      <w:r w:rsidR="00E42123">
        <w:t>one</w:t>
      </w:r>
      <w:r w:rsidRPr="00992C03">
        <w:t xml:space="preserve"> downlink NR carrier</w:t>
      </w:r>
      <w:r>
        <w:t xml:space="preserve">. When a SUL is configured, the UE </w:t>
      </w:r>
      <w:r w:rsidR="00E366A4">
        <w:t>uses</w:t>
      </w:r>
      <w:r>
        <w:t xml:space="preserve"> either the ordinary NR UL or the SUL</w:t>
      </w:r>
      <w:r w:rsidR="00E366A4">
        <w:t xml:space="preserve"> for data transmission on PUSCH</w:t>
      </w:r>
      <w:r>
        <w:t xml:space="preserve">. </w:t>
      </w:r>
      <w:r w:rsidR="0047448E">
        <w:t>For UEs in RRC IDLE, t</w:t>
      </w:r>
      <w:r w:rsidR="00E42123">
        <w:t xml:space="preserve">he choice of carrier </w:t>
      </w:r>
      <w:r w:rsidR="0047448E">
        <w:t xml:space="preserve">for initial access </w:t>
      </w:r>
      <w:r w:rsidR="00E42123">
        <w:t>would be based on</w:t>
      </w:r>
      <w:r>
        <w:t xml:space="preserve"> the DL RSRP</w:t>
      </w:r>
      <w:r w:rsidR="00BE4D9D">
        <w:t xml:space="preserve"> on a region where </w:t>
      </w:r>
      <w:r w:rsidR="00BE4D9D">
        <w:lastRenderedPageBreak/>
        <w:t>RMSI is transmitted</w:t>
      </w:r>
      <w:r w:rsidR="00E42123">
        <w:t xml:space="preserve">. If it is below </w:t>
      </w:r>
      <w:r>
        <w:t>a configured threshold</w:t>
      </w:r>
      <w:r w:rsidR="00E42123">
        <w:t>, then SUL is used. Otherwise the ordinary NR UL is used</w:t>
      </w:r>
      <w:r>
        <w:t>. There may be some impacts on the Random access procedure when a SUL is configured.</w:t>
      </w:r>
    </w:p>
    <w:p w14:paraId="213DA050" w14:textId="77777777" w:rsidR="007125DD" w:rsidRDefault="007125DD" w:rsidP="007125DD">
      <w:pPr>
        <w:pStyle w:val="Heading2"/>
      </w:pPr>
      <w:r>
        <w:t>Indication of carrier by Msg 2</w:t>
      </w:r>
    </w:p>
    <w:p w14:paraId="543BD735" w14:textId="362CCD11" w:rsidR="007125DD" w:rsidRDefault="007125DD" w:rsidP="007125DD">
      <w:pPr>
        <w:pStyle w:val="BodyText"/>
      </w:pPr>
      <w:r>
        <w:t>A first</w:t>
      </w:r>
      <w:r w:rsidR="00E42123">
        <w:t xml:space="preserve"> impact</w:t>
      </w:r>
      <w:r>
        <w:t xml:space="preserve"> is that when the UE sends a preamble on one of the ULs, the RAR </w:t>
      </w:r>
      <w:r w:rsidR="00934642">
        <w:t>(via the RA-RNTI and RAPID)</w:t>
      </w:r>
      <w:r>
        <w:t xml:space="preserve"> </w:t>
      </w:r>
      <w:r w:rsidR="00E42123">
        <w:t>may</w:t>
      </w:r>
      <w:r>
        <w:t xml:space="preserve"> not be able to convey</w:t>
      </w:r>
      <w:r w:rsidR="00E42123">
        <w:t xml:space="preserve"> on</w:t>
      </w:r>
      <w:r>
        <w:t xml:space="preserve"> which UL that the preamble was received</w:t>
      </w:r>
      <w:r w:rsidR="00E42123">
        <w:t>. This implies that</w:t>
      </w:r>
      <w:r>
        <w:t xml:space="preserve"> there is a possible risk </w:t>
      </w:r>
      <w:r w:rsidR="00934642">
        <w:t>that both UEs believe the RAR is intended for them, even though the RAR is only intended for one of the UEs. This problem</w:t>
      </w:r>
      <w:r>
        <w:t xml:space="preserve"> should </w:t>
      </w:r>
      <w:r w:rsidR="00E42123">
        <w:t xml:space="preserve">preferably </w:t>
      </w:r>
      <w:r>
        <w:t>be handled</w:t>
      </w:r>
      <w:r w:rsidR="00E42123">
        <w:t xml:space="preserve"> prior to the contention resolution</w:t>
      </w:r>
      <w:r>
        <w:t xml:space="preserve">. There are </w:t>
      </w:r>
      <w:r w:rsidR="00E42123">
        <w:t>different</w:t>
      </w:r>
      <w:r>
        <w:t xml:space="preserve"> ways to do this. One possibility is to have a preamble split between the uplinks. Due to the limitations on available preambles, this option is not preferred. Another option is to introduce a field in the RAR message (either RAR or MAC subheader) to indicate carrier. This option would introduce a re-design which seems unnecessary and create additional, un</w:t>
      </w:r>
      <w:r w:rsidR="00E42123">
        <w:t>wanted</w:t>
      </w:r>
      <w:r>
        <w:t xml:space="preserve"> overhead. Yet another option is to handle this by the RA-RNTI</w:t>
      </w:r>
      <w:r w:rsidR="006F5BFF">
        <w:t xml:space="preserve"> </w:t>
      </w:r>
      <w:r>
        <w:t>by introducing a carrier index in the RA-RNTI formula</w:t>
      </w:r>
      <w:r w:rsidR="006F5BFF">
        <w:t xml:space="preserve">. </w:t>
      </w:r>
      <w:r w:rsidR="001E0192">
        <w:t>However, t</w:t>
      </w:r>
      <w:r w:rsidR="006F5BFF">
        <w:t>he most simple and straightforward solution</w:t>
      </w:r>
      <w:r>
        <w:t xml:space="preserve"> </w:t>
      </w:r>
      <w:r w:rsidR="006F5BFF">
        <w:t>is to introduce</w:t>
      </w:r>
      <w:r>
        <w:t xml:space="preserve"> a consecutive numbering of frequencies between the carriers. That is,</w:t>
      </w:r>
      <w:r w:rsidR="00E42123">
        <w:t xml:space="preserve"> to number </w:t>
      </w:r>
      <w:r>
        <w:t xml:space="preserve">the frequencies f_id on the NR carrier </w:t>
      </w:r>
      <w:r w:rsidR="00E42123">
        <w:t>as</w:t>
      </w:r>
      <w:r>
        <w:t xml:space="preserve"> 0,1,..,n, </w:t>
      </w:r>
      <w:r w:rsidR="00E42123">
        <w:t xml:space="preserve">and to number </w:t>
      </w:r>
      <w:r>
        <w:t>the f</w:t>
      </w:r>
      <w:r w:rsidR="00E42123">
        <w:t xml:space="preserve">requencies on the SUL carrier as </w:t>
      </w:r>
      <w:r>
        <w:t>n+1, n+2,…, m. This would make the RA-RNTI formula able of conveying which carrier the preamble is received on.</w:t>
      </w:r>
    </w:p>
    <w:p w14:paraId="4131FB7F" w14:textId="77777777" w:rsidR="007125DD" w:rsidRDefault="007125DD" w:rsidP="007125DD">
      <w:pPr>
        <w:pStyle w:val="Proposal"/>
      </w:pPr>
      <w:bookmarkStart w:id="3" w:name="_Ref190406817"/>
      <w:bookmarkStart w:id="4" w:name="_Toc226862296"/>
      <w:bookmarkStart w:id="5" w:name="_Toc347823621"/>
      <w:bookmarkStart w:id="6" w:name="_Toc347824073"/>
      <w:bookmarkStart w:id="7" w:name="_Toc347824246"/>
      <w:bookmarkStart w:id="8" w:name="_Toc497922431"/>
      <w:bookmarkStart w:id="9" w:name="_Toc497994141"/>
      <w:bookmarkStart w:id="10" w:name="_Toc498414394"/>
      <w:r>
        <w:t>A consecutive numbering of frequencies f_id in the RA-RNTI formula over carriers is used for NR</w:t>
      </w:r>
      <w:bookmarkEnd w:id="3"/>
      <w:bookmarkEnd w:id="4"/>
      <w:r w:rsidRPr="00A04F49">
        <w:t>.</w:t>
      </w:r>
      <w:bookmarkEnd w:id="5"/>
      <w:bookmarkEnd w:id="6"/>
      <w:bookmarkEnd w:id="7"/>
      <w:bookmarkEnd w:id="8"/>
      <w:bookmarkEnd w:id="9"/>
      <w:bookmarkEnd w:id="10"/>
    </w:p>
    <w:p w14:paraId="358A0058" w14:textId="77777777" w:rsidR="007125DD" w:rsidRDefault="007125DD" w:rsidP="007125DD">
      <w:pPr>
        <w:pStyle w:val="BodyText"/>
      </w:pPr>
      <w:r>
        <w:t>It would also be possible to base the indication of which carrier the preamble was transmitted on by the grant for Msg3. This could be done so that if the grant is for transmission of Msg3 on the NR carrier, then the RAR (with matching RAPID and RA-RNTI) indicates that the preamble on the NR UL was detected. The same logic would apply if the grant is for the SUL carrier. In this case it indicates that the preamble on the SUL was detected.</w:t>
      </w:r>
    </w:p>
    <w:p w14:paraId="0A3BF535" w14:textId="77777777" w:rsidR="007125DD" w:rsidRDefault="007125DD" w:rsidP="007125DD">
      <w:pPr>
        <w:pStyle w:val="Heading2"/>
      </w:pPr>
      <w:r>
        <w:t>Contention free RA</w:t>
      </w:r>
    </w:p>
    <w:p w14:paraId="393A9F70" w14:textId="1B3DE041" w:rsidR="007125DD" w:rsidRDefault="007125DD" w:rsidP="007125DD">
      <w:pPr>
        <w:rPr>
          <w:noProof/>
        </w:rPr>
      </w:pPr>
      <w:r>
        <w:t>For the contention free Random Access, a preamble and possibly PRACH resource (</w:t>
      </w:r>
      <w:r w:rsidRPr="00627D68">
        <w:t>ra-PRACH-MaskIndex</w:t>
      </w:r>
      <w:r>
        <w:t xml:space="preserve"> in LTE) is indicated in either an RRC IE (</w:t>
      </w:r>
      <w:r w:rsidRPr="00627D68">
        <w:t xml:space="preserve">IE </w:t>
      </w:r>
      <w:r w:rsidRPr="00627D68">
        <w:rPr>
          <w:i/>
          <w:noProof/>
        </w:rPr>
        <w:t>RACH-ConfigDedicated</w:t>
      </w:r>
      <w:r>
        <w:rPr>
          <w:i/>
          <w:noProof/>
        </w:rPr>
        <w:t>)</w:t>
      </w:r>
      <w:r>
        <w:t xml:space="preserve"> or via a PDCCH order. Typically, the gNB would indicate which carrier should be used. This could be done via a preamble partition (could be a partitioning of dedicated preambles). Another alternative is to introduce a new carrier field in the PDCCH order</w:t>
      </w:r>
      <w:r w:rsidR="00C8644F">
        <w:t xml:space="preserve">, </w:t>
      </w:r>
      <w:r w:rsidR="00C8644F">
        <w:rPr>
          <w:noProof/>
        </w:rPr>
        <w:t>i.e., a special form of DCI 1A</w:t>
      </w:r>
      <w:r>
        <w:t xml:space="preserve"> or the </w:t>
      </w:r>
      <w:r w:rsidRPr="00627D68">
        <w:t xml:space="preserve">IE </w:t>
      </w:r>
      <w:r w:rsidRPr="00627D68">
        <w:rPr>
          <w:i/>
          <w:noProof/>
        </w:rPr>
        <w:t>RACH-ConfigDedicated</w:t>
      </w:r>
      <w:r>
        <w:rPr>
          <w:i/>
          <w:noProof/>
        </w:rPr>
        <w:t>.</w:t>
      </w:r>
      <w:r w:rsidR="004150BF">
        <w:rPr>
          <w:noProof/>
        </w:rPr>
        <w:t xml:space="preserve"> We think it is better to use the second alternative, since the introduction of </w:t>
      </w:r>
      <w:r w:rsidR="008B2BFF">
        <w:rPr>
          <w:noProof/>
        </w:rPr>
        <w:t xml:space="preserve">more preamble partition may create the issue of PRACH preamble congestion. </w:t>
      </w:r>
    </w:p>
    <w:p w14:paraId="2FA5FCE2" w14:textId="338B8672" w:rsidR="007125DD" w:rsidRDefault="007125DD" w:rsidP="007125DD">
      <w:pPr>
        <w:pStyle w:val="Proposal"/>
      </w:pPr>
      <w:bookmarkStart w:id="11" w:name="_Toc497922432"/>
      <w:bookmarkStart w:id="12" w:name="_Toc497994142"/>
      <w:bookmarkStart w:id="13" w:name="_Toc498414395"/>
      <w:r>
        <w:t>A new field to indicate which carrier the preamble transmission should be on is introduce</w:t>
      </w:r>
      <w:r w:rsidR="00AF3045">
        <w:t>d</w:t>
      </w:r>
      <w:r w:rsidR="00F5128B">
        <w:t xml:space="preserve"> in the </w:t>
      </w:r>
      <w:r>
        <w:t xml:space="preserve">PDCCH order </w:t>
      </w:r>
      <w:r w:rsidR="00AF3045">
        <w:t>and</w:t>
      </w:r>
      <w:r>
        <w:t xml:space="preserve"> the </w:t>
      </w:r>
      <w:r w:rsidRPr="00627D68">
        <w:t xml:space="preserve">IE </w:t>
      </w:r>
      <w:r w:rsidRPr="00627D68">
        <w:rPr>
          <w:i/>
          <w:noProof/>
        </w:rPr>
        <w:t>RACH-ConfigDedicated</w:t>
      </w:r>
      <w:r>
        <w:rPr>
          <w:i/>
          <w:noProof/>
        </w:rPr>
        <w:t xml:space="preserve"> </w:t>
      </w:r>
      <w:r>
        <w:t xml:space="preserve"> for NR</w:t>
      </w:r>
      <w:r w:rsidRPr="00A04F49">
        <w:t>.</w:t>
      </w:r>
      <w:bookmarkEnd w:id="11"/>
      <w:bookmarkEnd w:id="12"/>
      <w:bookmarkEnd w:id="13"/>
    </w:p>
    <w:bookmarkEnd w:id="2"/>
    <w:p w14:paraId="2FB2DCD2" w14:textId="77777777" w:rsidR="00C01F33" w:rsidRPr="00CE0424" w:rsidRDefault="00C01F33" w:rsidP="00CE0424">
      <w:pPr>
        <w:pStyle w:val="Heading1"/>
      </w:pPr>
      <w:r w:rsidRPr="00CE0424">
        <w:t>Conclusion</w:t>
      </w:r>
    </w:p>
    <w:p w14:paraId="25181D16" w14:textId="77777777" w:rsidR="00AF304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A3D8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920A9E3" w14:textId="77777777" w:rsidR="00AF3045" w:rsidRPr="00AF3045" w:rsidRDefault="00AF3045">
      <w:pPr>
        <w:pStyle w:val="TOC1"/>
        <w:rPr>
          <w:rFonts w:asciiTheme="minorHAnsi" w:eastAsiaTheme="minorEastAsia" w:hAnsiTheme="minorHAnsi" w:cstheme="minorBidi"/>
          <w:b w:val="0"/>
          <w:sz w:val="22"/>
          <w:lang w:eastAsia="sv-SE"/>
        </w:rPr>
      </w:pPr>
      <w:r>
        <w:t>Proposal 1</w:t>
      </w:r>
      <w:r w:rsidRPr="00AF3045">
        <w:rPr>
          <w:rFonts w:asciiTheme="minorHAnsi" w:eastAsiaTheme="minorEastAsia" w:hAnsiTheme="minorHAnsi" w:cstheme="minorBidi"/>
          <w:b w:val="0"/>
          <w:sz w:val="22"/>
          <w:lang w:eastAsia="sv-SE"/>
        </w:rPr>
        <w:tab/>
      </w:r>
      <w:r>
        <w:t>A consecutive numbering of frequencies f_id in the RA-RNTI formula over carriers is used for NR.</w:t>
      </w:r>
    </w:p>
    <w:p w14:paraId="65223B96" w14:textId="77777777" w:rsidR="00AF3045" w:rsidRPr="00AF3045" w:rsidRDefault="00AF3045">
      <w:pPr>
        <w:pStyle w:val="TOC1"/>
        <w:rPr>
          <w:rFonts w:asciiTheme="minorHAnsi" w:eastAsiaTheme="minorEastAsia" w:hAnsiTheme="minorHAnsi" w:cstheme="minorBidi"/>
          <w:b w:val="0"/>
          <w:sz w:val="22"/>
          <w:lang w:eastAsia="sv-SE"/>
        </w:rPr>
      </w:pPr>
      <w:r>
        <w:t>Proposal 2</w:t>
      </w:r>
      <w:r w:rsidRPr="00AF3045">
        <w:rPr>
          <w:rFonts w:asciiTheme="minorHAnsi" w:eastAsiaTheme="minorEastAsia" w:hAnsiTheme="minorHAnsi" w:cstheme="minorBidi"/>
          <w:b w:val="0"/>
          <w:sz w:val="22"/>
          <w:lang w:eastAsia="sv-SE"/>
        </w:rPr>
        <w:tab/>
      </w:r>
      <w:r>
        <w:t xml:space="preserve">A new field to indicate which carrier the preamble transmission should be on is introduced in the  PDCCH order and the IE </w:t>
      </w:r>
      <w:r w:rsidRPr="00AA66F6">
        <w:rPr>
          <w:i/>
        </w:rPr>
        <w:t xml:space="preserve">RACH-ConfigDedicated </w:t>
      </w:r>
      <w:r>
        <w:t xml:space="preserve"> for NR.</w:t>
      </w:r>
    </w:p>
    <w:p w14:paraId="1D9CDEBA" w14:textId="184ECFFD" w:rsidR="00C01F33" w:rsidRPr="009706F9" w:rsidRDefault="008E065E" w:rsidP="006E062C">
      <w:pPr>
        <w:rPr>
          <w:b/>
          <w:bCs/>
        </w:rPr>
      </w:pPr>
      <w:r>
        <w:rPr>
          <w:b/>
          <w:bCs/>
        </w:rPr>
        <w:fldChar w:fldCharType="end"/>
      </w:r>
    </w:p>
    <w:sectPr w:rsidR="00C01F33" w:rsidRPr="009706F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C946F" w14:textId="77777777" w:rsidR="00C8644F" w:rsidRDefault="00C8644F">
      <w:r>
        <w:separator/>
      </w:r>
    </w:p>
  </w:endnote>
  <w:endnote w:type="continuationSeparator" w:id="0">
    <w:p w14:paraId="54B20B28" w14:textId="77777777" w:rsidR="00C8644F" w:rsidRDefault="00C8644F">
      <w:r>
        <w:continuationSeparator/>
      </w:r>
    </w:p>
  </w:endnote>
  <w:endnote w:type="continuationNotice" w:id="1">
    <w:p w14:paraId="65E9F24A" w14:textId="77777777" w:rsidR="0041284D" w:rsidRDefault="00412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441B0" w14:textId="7C8D9B31" w:rsidR="00C8644F" w:rsidRDefault="00C864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7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76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23EE6" w14:textId="77777777" w:rsidR="00C8644F" w:rsidRDefault="00C8644F">
      <w:r>
        <w:separator/>
      </w:r>
    </w:p>
  </w:footnote>
  <w:footnote w:type="continuationSeparator" w:id="0">
    <w:p w14:paraId="62FD6CB4" w14:textId="77777777" w:rsidR="00C8644F" w:rsidRDefault="00C8644F">
      <w:r>
        <w:continuationSeparator/>
      </w:r>
    </w:p>
  </w:footnote>
  <w:footnote w:type="continuationNotice" w:id="1">
    <w:p w14:paraId="48BA4EEA" w14:textId="77777777" w:rsidR="0041284D" w:rsidRDefault="004128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41759" w14:textId="77777777" w:rsidR="00C8644F" w:rsidRDefault="00C864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D8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192"/>
    <w:rsid w:val="001E58E2"/>
    <w:rsid w:val="001E7AED"/>
    <w:rsid w:val="001F3916"/>
    <w:rsid w:val="001F54C5"/>
    <w:rsid w:val="001F662C"/>
    <w:rsid w:val="001F7074"/>
    <w:rsid w:val="0020011D"/>
    <w:rsid w:val="00200490"/>
    <w:rsid w:val="00201F3A"/>
    <w:rsid w:val="00203F96"/>
    <w:rsid w:val="002069B2"/>
    <w:rsid w:val="0020755B"/>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3F7C"/>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28D"/>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765"/>
    <w:rsid w:val="003E74E3"/>
    <w:rsid w:val="003F05C7"/>
    <w:rsid w:val="003F2CD4"/>
    <w:rsid w:val="003F6BBE"/>
    <w:rsid w:val="004000E8"/>
    <w:rsid w:val="00402E2B"/>
    <w:rsid w:val="0040512B"/>
    <w:rsid w:val="00405CA5"/>
    <w:rsid w:val="00407CD3"/>
    <w:rsid w:val="00410134"/>
    <w:rsid w:val="00410B72"/>
    <w:rsid w:val="00410F18"/>
    <w:rsid w:val="0041263E"/>
    <w:rsid w:val="0041284D"/>
    <w:rsid w:val="00413AAC"/>
    <w:rsid w:val="004150BF"/>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448E"/>
    <w:rsid w:val="0047556B"/>
    <w:rsid w:val="00477768"/>
    <w:rsid w:val="00484770"/>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0A9"/>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BFF"/>
    <w:rsid w:val="0070346E"/>
    <w:rsid w:val="00704EDB"/>
    <w:rsid w:val="00706101"/>
    <w:rsid w:val="00707072"/>
    <w:rsid w:val="00707D61"/>
    <w:rsid w:val="00712287"/>
    <w:rsid w:val="007125DD"/>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BFF"/>
    <w:rsid w:val="008B51A0"/>
    <w:rsid w:val="008B592A"/>
    <w:rsid w:val="008B7B5C"/>
    <w:rsid w:val="008C0C99"/>
    <w:rsid w:val="008C2017"/>
    <w:rsid w:val="008C4958"/>
    <w:rsid w:val="008C4BAA"/>
    <w:rsid w:val="008C6AE8"/>
    <w:rsid w:val="008C7573"/>
    <w:rsid w:val="008D344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64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6F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3045"/>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3D87"/>
    <w:rsid w:val="00BA56D2"/>
    <w:rsid w:val="00BA76E0"/>
    <w:rsid w:val="00BB2A25"/>
    <w:rsid w:val="00BB51E9"/>
    <w:rsid w:val="00BC0FDC"/>
    <w:rsid w:val="00BC3053"/>
    <w:rsid w:val="00BC4CD2"/>
    <w:rsid w:val="00BC4D2E"/>
    <w:rsid w:val="00BD48AC"/>
    <w:rsid w:val="00BD5F1A"/>
    <w:rsid w:val="00BE1234"/>
    <w:rsid w:val="00BE2FA6"/>
    <w:rsid w:val="00BE333F"/>
    <w:rsid w:val="00BE4D9D"/>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644F"/>
    <w:rsid w:val="00C9027A"/>
    <w:rsid w:val="00C9068E"/>
    <w:rsid w:val="00C93C4B"/>
    <w:rsid w:val="00C944AB"/>
    <w:rsid w:val="00C95B40"/>
    <w:rsid w:val="00CA1ED8"/>
    <w:rsid w:val="00CB1F63"/>
    <w:rsid w:val="00CB7170"/>
    <w:rsid w:val="00CC040E"/>
    <w:rsid w:val="00CC111F"/>
    <w:rsid w:val="00CC11B3"/>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4194"/>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6A4"/>
    <w:rsid w:val="00E3723A"/>
    <w:rsid w:val="00E37860"/>
    <w:rsid w:val="00E42123"/>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FA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28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FDB00"/>
  <w15:chartTrackingRefBased/>
  <w15:docId w15:val="{537C4B63-50BC-4801-9CE5-1A6B8783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477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847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8477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84770"/>
    <w:pPr>
      <w:numPr>
        <w:ilvl w:val="2"/>
      </w:numPr>
      <w:spacing w:before="120"/>
      <w:outlineLvl w:val="2"/>
    </w:pPr>
    <w:rPr>
      <w:sz w:val="28"/>
      <w:szCs w:val="28"/>
    </w:rPr>
  </w:style>
  <w:style w:type="paragraph" w:styleId="Heading4">
    <w:name w:val="heading 4"/>
    <w:basedOn w:val="Heading3"/>
    <w:next w:val="Normal"/>
    <w:qFormat/>
    <w:rsid w:val="00484770"/>
    <w:pPr>
      <w:numPr>
        <w:ilvl w:val="3"/>
      </w:numPr>
      <w:outlineLvl w:val="3"/>
    </w:pPr>
    <w:rPr>
      <w:sz w:val="24"/>
      <w:szCs w:val="24"/>
    </w:rPr>
  </w:style>
  <w:style w:type="paragraph" w:styleId="Heading5">
    <w:name w:val="heading 5"/>
    <w:basedOn w:val="Heading4"/>
    <w:next w:val="Normal"/>
    <w:qFormat/>
    <w:rsid w:val="00484770"/>
    <w:pPr>
      <w:numPr>
        <w:ilvl w:val="4"/>
      </w:numPr>
      <w:outlineLvl w:val="4"/>
    </w:pPr>
    <w:rPr>
      <w:sz w:val="22"/>
      <w:szCs w:val="22"/>
    </w:rPr>
  </w:style>
  <w:style w:type="paragraph" w:styleId="Heading6">
    <w:name w:val="heading 6"/>
    <w:basedOn w:val="Normal"/>
    <w:next w:val="Normal"/>
    <w:qFormat/>
    <w:rsid w:val="00484770"/>
    <w:pPr>
      <w:keepNext/>
      <w:keepLines/>
      <w:numPr>
        <w:ilvl w:val="5"/>
        <w:numId w:val="1"/>
      </w:numPr>
      <w:spacing w:before="120"/>
      <w:outlineLvl w:val="5"/>
    </w:pPr>
    <w:rPr>
      <w:rFonts w:cs="Arial"/>
    </w:rPr>
  </w:style>
  <w:style w:type="paragraph" w:styleId="Heading7">
    <w:name w:val="heading 7"/>
    <w:basedOn w:val="Normal"/>
    <w:next w:val="Normal"/>
    <w:qFormat/>
    <w:rsid w:val="00484770"/>
    <w:pPr>
      <w:keepNext/>
      <w:keepLines/>
      <w:numPr>
        <w:ilvl w:val="6"/>
        <w:numId w:val="1"/>
      </w:numPr>
      <w:spacing w:before="120"/>
      <w:outlineLvl w:val="6"/>
    </w:pPr>
    <w:rPr>
      <w:rFonts w:cs="Arial"/>
    </w:rPr>
  </w:style>
  <w:style w:type="paragraph" w:styleId="Heading8">
    <w:name w:val="heading 8"/>
    <w:basedOn w:val="Heading7"/>
    <w:next w:val="Normal"/>
    <w:qFormat/>
    <w:rsid w:val="00484770"/>
    <w:pPr>
      <w:numPr>
        <w:ilvl w:val="7"/>
      </w:numPr>
      <w:outlineLvl w:val="7"/>
    </w:pPr>
  </w:style>
  <w:style w:type="paragraph" w:styleId="Heading9">
    <w:name w:val="heading 9"/>
    <w:basedOn w:val="Heading8"/>
    <w:next w:val="Normal"/>
    <w:qFormat/>
    <w:rsid w:val="004847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84770"/>
    <w:pPr>
      <w:spacing w:before="180"/>
      <w:ind w:left="2693" w:hanging="2693"/>
    </w:pPr>
    <w:rPr>
      <w:b w:val="0"/>
      <w:bCs/>
    </w:rPr>
  </w:style>
  <w:style w:type="paragraph" w:styleId="TOC1">
    <w:name w:val="toc 1"/>
    <w:aliases w:val="Observation TOC2"/>
    <w:uiPriority w:val="39"/>
    <w:rsid w:val="0048477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84770"/>
    <w:pPr>
      <w:keepNext/>
      <w:keepLines/>
      <w:spacing w:before="180"/>
      <w:jc w:val="center"/>
    </w:pPr>
  </w:style>
  <w:style w:type="paragraph" w:styleId="Caption">
    <w:name w:val="caption"/>
    <w:basedOn w:val="Normal"/>
    <w:next w:val="Normal"/>
    <w:qFormat/>
    <w:rsid w:val="00484770"/>
    <w:pPr>
      <w:spacing w:after="240"/>
      <w:jc w:val="center"/>
    </w:pPr>
    <w:rPr>
      <w:b/>
      <w:bCs/>
    </w:rPr>
  </w:style>
  <w:style w:type="paragraph" w:styleId="TOC5">
    <w:name w:val="toc 5"/>
    <w:aliases w:val="Observation TOC"/>
    <w:basedOn w:val="TOC4"/>
    <w:semiHidden/>
    <w:rsid w:val="00484770"/>
    <w:pPr>
      <w:tabs>
        <w:tab w:val="right" w:pos="1701"/>
      </w:tabs>
      <w:ind w:left="1701" w:hanging="1701"/>
    </w:pPr>
  </w:style>
  <w:style w:type="paragraph" w:styleId="TOC4">
    <w:name w:val="toc 4"/>
    <w:basedOn w:val="TOC3"/>
    <w:semiHidden/>
    <w:rsid w:val="00484770"/>
    <w:pPr>
      <w:ind w:left="1418" w:hanging="1418"/>
    </w:pPr>
  </w:style>
  <w:style w:type="paragraph" w:styleId="TOC3">
    <w:name w:val="toc 3"/>
    <w:basedOn w:val="TOC2"/>
    <w:semiHidden/>
    <w:rsid w:val="00484770"/>
    <w:pPr>
      <w:ind w:left="1134" w:hanging="1134"/>
    </w:pPr>
  </w:style>
  <w:style w:type="paragraph" w:styleId="TOC2">
    <w:name w:val="toc 2"/>
    <w:basedOn w:val="TOC1"/>
    <w:semiHidden/>
    <w:rsid w:val="00484770"/>
    <w:pPr>
      <w:keepNext w:val="0"/>
      <w:spacing w:before="0"/>
      <w:ind w:left="851" w:hanging="851"/>
    </w:pPr>
    <w:rPr>
      <w:szCs w:val="20"/>
    </w:rPr>
  </w:style>
  <w:style w:type="paragraph" w:styleId="Index2">
    <w:name w:val="index 2"/>
    <w:basedOn w:val="Index1"/>
    <w:semiHidden/>
    <w:rsid w:val="00484770"/>
    <w:pPr>
      <w:ind w:left="284"/>
    </w:pPr>
  </w:style>
  <w:style w:type="paragraph" w:styleId="Index1">
    <w:name w:val="index 1"/>
    <w:basedOn w:val="Normal"/>
    <w:semiHidden/>
    <w:rsid w:val="00484770"/>
    <w:pPr>
      <w:keepLines/>
      <w:spacing w:after="0"/>
    </w:pPr>
  </w:style>
  <w:style w:type="paragraph" w:styleId="DocumentMap">
    <w:name w:val="Document Map"/>
    <w:basedOn w:val="Normal"/>
    <w:semiHidden/>
    <w:rsid w:val="00484770"/>
    <w:pPr>
      <w:shd w:val="clear" w:color="auto" w:fill="000080"/>
    </w:pPr>
    <w:rPr>
      <w:rFonts w:ascii="Tahoma" w:hAnsi="Tahoma" w:cs="Tahoma"/>
    </w:rPr>
  </w:style>
  <w:style w:type="paragraph" w:styleId="ListNumber2">
    <w:name w:val="List Number 2"/>
    <w:basedOn w:val="ListNumber"/>
    <w:rsid w:val="00484770"/>
    <w:pPr>
      <w:ind w:left="851"/>
    </w:pPr>
  </w:style>
  <w:style w:type="paragraph" w:styleId="ListNumber">
    <w:name w:val="List Number"/>
    <w:basedOn w:val="List"/>
    <w:rsid w:val="00484770"/>
  </w:style>
  <w:style w:type="paragraph" w:styleId="List">
    <w:name w:val="List"/>
    <w:basedOn w:val="Normal"/>
    <w:rsid w:val="00484770"/>
    <w:pPr>
      <w:ind w:left="568" w:hanging="284"/>
    </w:pPr>
  </w:style>
  <w:style w:type="paragraph" w:styleId="Header">
    <w:name w:val="header"/>
    <w:rsid w:val="0048477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84770"/>
    <w:rPr>
      <w:b/>
      <w:bCs/>
      <w:position w:val="6"/>
      <w:sz w:val="16"/>
      <w:szCs w:val="16"/>
    </w:rPr>
  </w:style>
  <w:style w:type="paragraph" w:styleId="FootnoteText">
    <w:name w:val="footnote text"/>
    <w:basedOn w:val="Normal"/>
    <w:semiHidden/>
    <w:rsid w:val="00484770"/>
    <w:pPr>
      <w:keepLines/>
      <w:spacing w:after="0"/>
      <w:ind w:left="454" w:hanging="454"/>
    </w:pPr>
    <w:rPr>
      <w:sz w:val="16"/>
      <w:szCs w:val="16"/>
    </w:rPr>
  </w:style>
  <w:style w:type="paragraph" w:customStyle="1" w:styleId="3GPPHeader">
    <w:name w:val="3GPP_Header"/>
    <w:basedOn w:val="Normal"/>
    <w:rsid w:val="00484770"/>
    <w:pPr>
      <w:tabs>
        <w:tab w:val="left" w:pos="1701"/>
        <w:tab w:val="right" w:pos="9639"/>
      </w:tabs>
      <w:spacing w:after="240"/>
    </w:pPr>
    <w:rPr>
      <w:b/>
      <w:sz w:val="24"/>
    </w:rPr>
  </w:style>
  <w:style w:type="paragraph" w:styleId="TOC9">
    <w:name w:val="toc 9"/>
    <w:basedOn w:val="TOC8"/>
    <w:semiHidden/>
    <w:rsid w:val="00484770"/>
    <w:pPr>
      <w:ind w:left="1418" w:hanging="1418"/>
    </w:pPr>
  </w:style>
  <w:style w:type="paragraph" w:styleId="TOC6">
    <w:name w:val="toc 6"/>
    <w:basedOn w:val="TOC5"/>
    <w:next w:val="Normal"/>
    <w:semiHidden/>
    <w:rsid w:val="00484770"/>
    <w:pPr>
      <w:ind w:left="1985" w:hanging="1985"/>
    </w:pPr>
  </w:style>
  <w:style w:type="paragraph" w:styleId="TOC7">
    <w:name w:val="toc 7"/>
    <w:basedOn w:val="TOC6"/>
    <w:next w:val="Normal"/>
    <w:semiHidden/>
    <w:rsid w:val="00484770"/>
    <w:pPr>
      <w:ind w:left="2268" w:hanging="2268"/>
    </w:pPr>
  </w:style>
  <w:style w:type="paragraph" w:styleId="ListBullet2">
    <w:name w:val="List Bullet 2"/>
    <w:basedOn w:val="ListBullet"/>
    <w:rsid w:val="00484770"/>
    <w:pPr>
      <w:numPr>
        <w:numId w:val="6"/>
      </w:numPr>
    </w:pPr>
  </w:style>
  <w:style w:type="paragraph" w:styleId="ListBullet">
    <w:name w:val="List Bullet"/>
    <w:basedOn w:val="BodyText"/>
    <w:rsid w:val="00484770"/>
    <w:pPr>
      <w:numPr>
        <w:numId w:val="5"/>
      </w:numPr>
    </w:pPr>
  </w:style>
  <w:style w:type="paragraph" w:styleId="ListBullet3">
    <w:name w:val="List Bullet 3"/>
    <w:basedOn w:val="ListBullet2"/>
    <w:rsid w:val="00484770"/>
    <w:pPr>
      <w:numPr>
        <w:numId w:val="7"/>
      </w:numPr>
    </w:pPr>
  </w:style>
  <w:style w:type="paragraph" w:customStyle="1" w:styleId="EQ">
    <w:name w:val="EQ"/>
    <w:basedOn w:val="Normal"/>
    <w:next w:val="Normal"/>
    <w:rsid w:val="00484770"/>
    <w:pPr>
      <w:keepLines/>
      <w:tabs>
        <w:tab w:val="center" w:pos="4536"/>
        <w:tab w:val="right" w:pos="9072"/>
      </w:tabs>
      <w:spacing w:after="180"/>
      <w:jc w:val="left"/>
    </w:pPr>
    <w:rPr>
      <w:noProof/>
      <w:lang w:eastAsia="en-US"/>
    </w:rPr>
  </w:style>
  <w:style w:type="paragraph" w:styleId="List2">
    <w:name w:val="List 2"/>
    <w:basedOn w:val="List"/>
    <w:rsid w:val="00484770"/>
    <w:pPr>
      <w:ind w:left="851"/>
    </w:pPr>
  </w:style>
  <w:style w:type="paragraph" w:styleId="List3">
    <w:name w:val="List 3"/>
    <w:basedOn w:val="List2"/>
    <w:rsid w:val="00484770"/>
    <w:pPr>
      <w:ind w:left="1135"/>
    </w:pPr>
  </w:style>
  <w:style w:type="paragraph" w:styleId="List4">
    <w:name w:val="List 4"/>
    <w:basedOn w:val="List3"/>
    <w:rsid w:val="00484770"/>
    <w:pPr>
      <w:ind w:left="1418"/>
    </w:pPr>
  </w:style>
  <w:style w:type="paragraph" w:styleId="List5">
    <w:name w:val="List 5"/>
    <w:basedOn w:val="List4"/>
    <w:rsid w:val="00484770"/>
    <w:pPr>
      <w:ind w:left="1702"/>
    </w:pPr>
  </w:style>
  <w:style w:type="paragraph" w:customStyle="1" w:styleId="EditorsNote">
    <w:name w:val="Editor's Note"/>
    <w:basedOn w:val="Normal"/>
    <w:rsid w:val="00484770"/>
    <w:pPr>
      <w:keepLines/>
      <w:spacing w:after="180"/>
      <w:ind w:left="1135" w:hanging="851"/>
      <w:jc w:val="left"/>
    </w:pPr>
    <w:rPr>
      <w:color w:val="FF0000"/>
      <w:lang w:eastAsia="en-US"/>
    </w:rPr>
  </w:style>
  <w:style w:type="paragraph" w:styleId="ListBullet4">
    <w:name w:val="List Bullet 4"/>
    <w:basedOn w:val="ListBullet3"/>
    <w:rsid w:val="00484770"/>
    <w:pPr>
      <w:numPr>
        <w:numId w:val="8"/>
      </w:numPr>
    </w:pPr>
  </w:style>
  <w:style w:type="paragraph" w:styleId="ListBullet5">
    <w:name w:val="List Bullet 5"/>
    <w:basedOn w:val="ListBullet4"/>
    <w:rsid w:val="00484770"/>
    <w:pPr>
      <w:numPr>
        <w:numId w:val="4"/>
      </w:numPr>
    </w:pPr>
  </w:style>
  <w:style w:type="paragraph" w:styleId="Footer">
    <w:name w:val="footer"/>
    <w:basedOn w:val="Header"/>
    <w:semiHidden/>
    <w:rsid w:val="00484770"/>
    <w:pPr>
      <w:jc w:val="center"/>
    </w:pPr>
    <w:rPr>
      <w:i/>
      <w:iCs/>
    </w:rPr>
  </w:style>
  <w:style w:type="paragraph" w:customStyle="1" w:styleId="Reference">
    <w:name w:val="Reference"/>
    <w:basedOn w:val="Normal"/>
    <w:rsid w:val="00484770"/>
    <w:pPr>
      <w:numPr>
        <w:numId w:val="2"/>
      </w:numPr>
    </w:pPr>
  </w:style>
  <w:style w:type="paragraph" w:styleId="BalloonText">
    <w:name w:val="Balloon Text"/>
    <w:basedOn w:val="Normal"/>
    <w:semiHidden/>
    <w:rsid w:val="00484770"/>
    <w:rPr>
      <w:rFonts w:ascii="Tahoma" w:hAnsi="Tahoma" w:cs="Tahoma"/>
      <w:sz w:val="16"/>
      <w:szCs w:val="16"/>
    </w:rPr>
  </w:style>
  <w:style w:type="character" w:styleId="PageNumber">
    <w:name w:val="page number"/>
    <w:basedOn w:val="DefaultParagraphFont"/>
    <w:semiHidden/>
    <w:rsid w:val="00484770"/>
  </w:style>
  <w:style w:type="paragraph" w:styleId="BodyText">
    <w:name w:val="Body Text"/>
    <w:basedOn w:val="Normal"/>
    <w:link w:val="BodyTextChar"/>
    <w:rsid w:val="00484770"/>
  </w:style>
  <w:style w:type="character" w:styleId="Hyperlink">
    <w:name w:val="Hyperlink"/>
    <w:uiPriority w:val="99"/>
    <w:rsid w:val="00484770"/>
    <w:rPr>
      <w:color w:val="0000FF"/>
      <w:u w:val="single"/>
      <w:lang w:val="en-GB"/>
    </w:rPr>
  </w:style>
  <w:style w:type="character" w:styleId="FollowedHyperlink">
    <w:name w:val="FollowedHyperlink"/>
    <w:semiHidden/>
    <w:rsid w:val="00484770"/>
    <w:rPr>
      <w:color w:val="FF0000"/>
      <w:u w:val="single"/>
    </w:rPr>
  </w:style>
  <w:style w:type="character" w:styleId="CommentReference">
    <w:name w:val="annotation reference"/>
    <w:semiHidden/>
    <w:rsid w:val="00484770"/>
    <w:rPr>
      <w:sz w:val="16"/>
      <w:szCs w:val="16"/>
    </w:rPr>
  </w:style>
  <w:style w:type="paragraph" w:styleId="CommentText">
    <w:name w:val="annotation text"/>
    <w:basedOn w:val="Normal"/>
    <w:link w:val="CommentTextChar"/>
    <w:rsid w:val="00484770"/>
  </w:style>
  <w:style w:type="paragraph" w:styleId="CommentSubject">
    <w:name w:val="annotation subject"/>
    <w:basedOn w:val="CommentText"/>
    <w:next w:val="CommentText"/>
    <w:semiHidden/>
    <w:rsid w:val="00484770"/>
    <w:rPr>
      <w:b/>
      <w:bCs/>
    </w:rPr>
  </w:style>
  <w:style w:type="character" w:customStyle="1" w:styleId="Heading1Char">
    <w:name w:val="Heading 1 Char"/>
    <w:link w:val="Heading1"/>
    <w:rsid w:val="00484770"/>
    <w:rPr>
      <w:rFonts w:ascii="Arial" w:hAnsi="Arial" w:cs="Arial"/>
      <w:sz w:val="36"/>
      <w:szCs w:val="36"/>
      <w:lang w:val="en-GB" w:eastAsia="zh-CN"/>
    </w:rPr>
  </w:style>
  <w:style w:type="paragraph" w:customStyle="1" w:styleId="B1">
    <w:name w:val="B1"/>
    <w:basedOn w:val="List"/>
    <w:rsid w:val="00484770"/>
    <w:pPr>
      <w:spacing w:after="180"/>
      <w:jc w:val="left"/>
    </w:pPr>
    <w:rPr>
      <w:lang w:eastAsia="en-US"/>
    </w:rPr>
  </w:style>
  <w:style w:type="paragraph" w:customStyle="1" w:styleId="B2">
    <w:name w:val="B2"/>
    <w:basedOn w:val="List2"/>
    <w:rsid w:val="00484770"/>
    <w:pPr>
      <w:spacing w:after="180"/>
      <w:jc w:val="left"/>
    </w:pPr>
    <w:rPr>
      <w:lang w:eastAsia="en-US"/>
    </w:rPr>
  </w:style>
  <w:style w:type="paragraph" w:customStyle="1" w:styleId="B3">
    <w:name w:val="B3"/>
    <w:basedOn w:val="List3"/>
    <w:rsid w:val="00484770"/>
    <w:pPr>
      <w:spacing w:after="180"/>
      <w:jc w:val="left"/>
    </w:pPr>
    <w:rPr>
      <w:lang w:eastAsia="en-US"/>
    </w:rPr>
  </w:style>
  <w:style w:type="paragraph" w:customStyle="1" w:styleId="B4">
    <w:name w:val="B4"/>
    <w:basedOn w:val="List4"/>
    <w:rsid w:val="00484770"/>
    <w:pPr>
      <w:spacing w:after="180"/>
      <w:jc w:val="left"/>
    </w:pPr>
    <w:rPr>
      <w:lang w:eastAsia="en-US"/>
    </w:rPr>
  </w:style>
  <w:style w:type="paragraph" w:customStyle="1" w:styleId="Proposal">
    <w:name w:val="Proposal"/>
    <w:basedOn w:val="Normal"/>
    <w:rsid w:val="00484770"/>
    <w:pPr>
      <w:numPr>
        <w:numId w:val="3"/>
      </w:numPr>
      <w:tabs>
        <w:tab w:val="clear" w:pos="1304"/>
        <w:tab w:val="left" w:pos="1701"/>
      </w:tabs>
      <w:ind w:left="1701" w:hanging="1701"/>
    </w:pPr>
    <w:rPr>
      <w:b/>
      <w:bCs/>
    </w:rPr>
  </w:style>
  <w:style w:type="character" w:customStyle="1" w:styleId="BodyTextChar">
    <w:name w:val="Body Text Char"/>
    <w:link w:val="BodyText"/>
    <w:rsid w:val="00484770"/>
    <w:rPr>
      <w:rFonts w:ascii="Arial" w:hAnsi="Arial"/>
      <w:lang w:val="en-GB" w:eastAsia="zh-CN"/>
    </w:rPr>
  </w:style>
  <w:style w:type="paragraph" w:customStyle="1" w:styleId="B5">
    <w:name w:val="B5"/>
    <w:basedOn w:val="List5"/>
    <w:rsid w:val="00484770"/>
    <w:pPr>
      <w:spacing w:after="180"/>
      <w:jc w:val="left"/>
    </w:pPr>
    <w:rPr>
      <w:lang w:eastAsia="en-US"/>
    </w:rPr>
  </w:style>
  <w:style w:type="paragraph" w:customStyle="1" w:styleId="EX">
    <w:name w:val="EX"/>
    <w:basedOn w:val="Normal"/>
    <w:rsid w:val="00484770"/>
    <w:pPr>
      <w:keepLines/>
      <w:spacing w:after="180"/>
      <w:ind w:left="1702" w:hanging="1418"/>
      <w:jc w:val="left"/>
    </w:pPr>
    <w:rPr>
      <w:lang w:eastAsia="en-US"/>
    </w:rPr>
  </w:style>
  <w:style w:type="paragraph" w:customStyle="1" w:styleId="EW">
    <w:name w:val="EW"/>
    <w:basedOn w:val="EX"/>
    <w:rsid w:val="00484770"/>
    <w:pPr>
      <w:spacing w:after="0"/>
    </w:pPr>
  </w:style>
  <w:style w:type="paragraph" w:customStyle="1" w:styleId="TAL">
    <w:name w:val="TAL"/>
    <w:basedOn w:val="Normal"/>
    <w:rsid w:val="00484770"/>
    <w:pPr>
      <w:keepNext/>
      <w:keepLines/>
      <w:spacing w:after="0"/>
      <w:jc w:val="left"/>
    </w:pPr>
    <w:rPr>
      <w:sz w:val="18"/>
      <w:lang w:eastAsia="en-US"/>
    </w:rPr>
  </w:style>
  <w:style w:type="paragraph" w:customStyle="1" w:styleId="TAC">
    <w:name w:val="TAC"/>
    <w:basedOn w:val="TAL"/>
    <w:rsid w:val="00484770"/>
    <w:pPr>
      <w:jc w:val="center"/>
    </w:pPr>
  </w:style>
  <w:style w:type="paragraph" w:customStyle="1" w:styleId="TAH">
    <w:name w:val="TAH"/>
    <w:basedOn w:val="TAC"/>
    <w:rsid w:val="00484770"/>
    <w:rPr>
      <w:b/>
    </w:rPr>
  </w:style>
  <w:style w:type="paragraph" w:customStyle="1" w:styleId="TAN">
    <w:name w:val="TAN"/>
    <w:basedOn w:val="TAL"/>
    <w:rsid w:val="00484770"/>
    <w:pPr>
      <w:ind w:left="851" w:hanging="851"/>
    </w:pPr>
  </w:style>
  <w:style w:type="paragraph" w:customStyle="1" w:styleId="TAR">
    <w:name w:val="TAR"/>
    <w:basedOn w:val="TAL"/>
    <w:rsid w:val="00484770"/>
    <w:pPr>
      <w:jc w:val="right"/>
    </w:pPr>
  </w:style>
  <w:style w:type="paragraph" w:customStyle="1" w:styleId="TH">
    <w:name w:val="TH"/>
    <w:basedOn w:val="Normal"/>
    <w:rsid w:val="00484770"/>
    <w:pPr>
      <w:keepNext/>
      <w:keepLines/>
      <w:spacing w:before="60" w:after="180"/>
      <w:jc w:val="center"/>
    </w:pPr>
    <w:rPr>
      <w:b/>
      <w:lang w:eastAsia="en-US"/>
    </w:rPr>
  </w:style>
  <w:style w:type="paragraph" w:customStyle="1" w:styleId="TF">
    <w:name w:val="TF"/>
    <w:basedOn w:val="TH"/>
    <w:rsid w:val="00484770"/>
    <w:pPr>
      <w:keepNext w:val="0"/>
      <w:spacing w:before="0" w:after="240"/>
    </w:pPr>
  </w:style>
  <w:style w:type="paragraph" w:customStyle="1" w:styleId="TT">
    <w:name w:val="TT"/>
    <w:basedOn w:val="Heading1"/>
    <w:next w:val="Normal"/>
    <w:rsid w:val="00484770"/>
    <w:pPr>
      <w:numPr>
        <w:numId w:val="0"/>
      </w:numPr>
      <w:ind w:left="1134" w:hanging="1134"/>
      <w:outlineLvl w:val="9"/>
    </w:pPr>
    <w:rPr>
      <w:rFonts w:cs="Times New Roman"/>
      <w:szCs w:val="20"/>
      <w:lang w:eastAsia="en-US"/>
    </w:rPr>
  </w:style>
  <w:style w:type="paragraph" w:customStyle="1" w:styleId="ZA">
    <w:name w:val="ZA"/>
    <w:rsid w:val="0048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847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847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84770"/>
  </w:style>
  <w:style w:type="paragraph" w:customStyle="1" w:styleId="ZH">
    <w:name w:val="ZH"/>
    <w:rsid w:val="004847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84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84770"/>
    <w:pPr>
      <w:framePr w:hRule="auto" w:wrap="notBeside" w:y="852"/>
    </w:pPr>
    <w:rPr>
      <w:i w:val="0"/>
      <w:sz w:val="40"/>
    </w:rPr>
  </w:style>
  <w:style w:type="paragraph" w:customStyle="1" w:styleId="ZU">
    <w:name w:val="ZU"/>
    <w:rsid w:val="0048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84770"/>
    <w:pPr>
      <w:framePr w:wrap="notBeside" w:y="16161"/>
    </w:pPr>
  </w:style>
  <w:style w:type="paragraph" w:customStyle="1" w:styleId="FP">
    <w:name w:val="FP"/>
    <w:basedOn w:val="Normal"/>
    <w:rsid w:val="00484770"/>
    <w:pPr>
      <w:spacing w:after="0"/>
      <w:jc w:val="left"/>
    </w:pPr>
    <w:rPr>
      <w:lang w:eastAsia="en-US"/>
    </w:rPr>
  </w:style>
  <w:style w:type="paragraph" w:customStyle="1" w:styleId="Observation">
    <w:name w:val="Observation"/>
    <w:basedOn w:val="Proposal"/>
    <w:qFormat/>
    <w:rsid w:val="00484770"/>
    <w:pPr>
      <w:numPr>
        <w:numId w:val="13"/>
      </w:numPr>
      <w:ind w:left="1701" w:hanging="1701"/>
    </w:pPr>
  </w:style>
  <w:style w:type="paragraph" w:styleId="TableofFigures">
    <w:name w:val="table of figures"/>
    <w:basedOn w:val="Normal"/>
    <w:next w:val="Normal"/>
    <w:uiPriority w:val="99"/>
    <w:rsid w:val="00484770"/>
    <w:pPr>
      <w:ind w:left="1418" w:hanging="1418"/>
      <w:jc w:val="left"/>
    </w:pPr>
    <w:rPr>
      <w:b/>
    </w:rPr>
  </w:style>
  <w:style w:type="paragraph" w:customStyle="1" w:styleId="Doc-text2">
    <w:name w:val="Doc-text2"/>
    <w:basedOn w:val="Normal"/>
    <w:link w:val="Doc-text2Char"/>
    <w:qFormat/>
    <w:rsid w:val="0048477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84770"/>
    <w:rPr>
      <w:rFonts w:ascii="Arial" w:eastAsia="MS Mincho" w:hAnsi="Arial"/>
      <w:szCs w:val="24"/>
      <w:lang w:val="en-GB" w:eastAsia="en-GB"/>
    </w:rPr>
  </w:style>
  <w:style w:type="character" w:customStyle="1" w:styleId="CommentTextChar">
    <w:name w:val="Comment Text Char"/>
    <w:basedOn w:val="DefaultParagraphFont"/>
    <w:link w:val="CommentText"/>
    <w:rsid w:val="007125D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5NUHHDQN7SK2-1-185416</_dlc_DocId>
    <_dlc_DocIdUrl xmlns="08b2df90-05d3-4030-90d4-c9feeb4a1cd9">
      <Url>https://ericoll.internal.ericsson.com/sites/star/_layouts/DocIdRedir.aspx?ID=5NUHHDQN7SK2-1-185416</Url>
      <Description>5NUHHDQN7SK2-1-185416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80F66250-655A-476A-B899-8D0AFD9BE86E}"/>
</file>

<file path=docProps/app.xml><?xml version="1.0" encoding="utf-8"?>
<Properties xmlns="http://schemas.openxmlformats.org/officeDocument/2006/extended-properties" xmlns:vt="http://schemas.openxmlformats.org/officeDocument/2006/docPropsVTypes">
  <Template>R2-17xxxxx - Contribution Template.dotx</Template>
  <TotalTime>55</TotalTime>
  <Pages>2</Pages>
  <Words>1022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Ericsson</cp:lastModifiedBy>
  <cp:revision>13</cp:revision>
  <cp:lastPrinted>2008-01-31T16:09:00Z</cp:lastPrinted>
  <dcterms:created xsi:type="dcterms:W3CDTF">2017-11-08T14:10:00Z</dcterms:created>
  <dcterms:modified xsi:type="dcterms:W3CDTF">2017-11-16T21:32:00Z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c5bb02aa-aae3-40fa-b234-44b265cad805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